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Nova Cond" w:cs="Arial Nova Cond" w:eastAsia="Arial Nova Cond" w:hAnsi="Arial Nova Cond"/>
          <w:b w:val="1"/>
          <w:i w:val="0"/>
          <w:smallCaps w:val="0"/>
          <w:strike w:val="0"/>
          <w:color w:val="0d0d0d"/>
          <w:sz w:val="56"/>
          <w:szCs w:val="56"/>
          <w:u w:val="none"/>
          <w:shd w:fill="auto" w:val="clear"/>
          <w:vertAlign w:val="baseline"/>
        </w:rPr>
      </w:pPr>
      <w:r w:rsidDel="00000000" w:rsidR="00000000" w:rsidRPr="00000000">
        <w:rPr>
          <w:rFonts w:ascii="Arial Nova Cond" w:cs="Arial Nova Cond" w:eastAsia="Arial Nova Cond" w:hAnsi="Arial Nova Cond"/>
          <w:b w:val="1"/>
          <w:i w:val="0"/>
          <w:smallCaps w:val="0"/>
          <w:strike w:val="0"/>
          <w:color w:val="0d0d0d"/>
          <w:sz w:val="56"/>
          <w:szCs w:val="56"/>
          <w:u w:val="none"/>
          <w:shd w:fill="auto" w:val="clear"/>
          <w:vertAlign w:val="baseline"/>
          <w:rtl w:val="0"/>
        </w:rPr>
        <w:t xml:space="preserve">NEOLITIZACIÓN DE LAS SOCIEDADES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6f57a1"/>
          <w:sz w:val="22"/>
          <w:szCs w:val="22"/>
          <w:u w:val="none"/>
          <w:shd w:fill="auto" w:val="clear"/>
          <w:vertAlign w:val="baseline"/>
          <w:rtl w:val="0"/>
        </w:rPr>
        <w:br w:type="textWrapping"/>
      </w:r>
      <w:r w:rsidDel="00000000" w:rsidR="00000000" w:rsidRPr="00000000">
        <w:rPr>
          <w:rFonts w:ascii="Open Sans" w:cs="Open Sans" w:eastAsia="Open Sans" w:hAnsi="Open Sans"/>
          <w:b w:val="1"/>
          <w:i w:val="0"/>
          <w:smallCaps w:val="0"/>
          <w:strike w:val="0"/>
          <w:color w:val="6f57a1"/>
          <w:sz w:val="20"/>
          <w:szCs w:val="20"/>
          <w:u w:val="none"/>
          <w:shd w:fill="auto" w:val="clear"/>
          <w:vertAlign w:val="baseline"/>
          <w:rtl w:val="0"/>
        </w:rPr>
        <w:t xml:space="preserve">OBJETIVO </w:t>
      </w:r>
      <w:r w:rsidDel="00000000" w:rsidR="00000000" w:rsidRPr="00000000">
        <w:rPr>
          <w:rFonts w:ascii="Open Sans" w:cs="Open Sans" w:eastAsia="Open Sans" w:hAnsi="Open Sans"/>
          <w:b w:val="1"/>
          <w:i w:val="0"/>
          <w:smallCaps w:val="0"/>
          <w:strike w:val="0"/>
          <w:color w:val="7e57c2"/>
          <w:sz w:val="20"/>
          <w:szCs w:val="20"/>
          <w:u w:val="none"/>
          <w:shd w:fill="auto" w:val="clear"/>
          <w:vertAlign w:val="baseline"/>
          <w:rtl w:val="0"/>
        </w:rPr>
        <w:t xml:space="preserve">DE</w:t>
      </w:r>
      <w:r w:rsidDel="00000000" w:rsidR="00000000" w:rsidRPr="00000000">
        <w:rPr>
          <w:rFonts w:ascii="Open Sans" w:cs="Open Sans" w:eastAsia="Open Sans" w:hAnsi="Open Sans"/>
          <w:b w:val="1"/>
          <w:i w:val="0"/>
          <w:smallCaps w:val="0"/>
          <w:strike w:val="0"/>
          <w:color w:val="6f57a1"/>
          <w:sz w:val="20"/>
          <w:szCs w:val="20"/>
          <w:u w:val="none"/>
          <w:shd w:fill="auto" w:val="clear"/>
          <w:vertAlign w:val="baseline"/>
          <w:rtl w:val="0"/>
        </w:rPr>
        <w:t xml:space="preserve"> APRENDIZAJE MINISTERIAL:</w:t>
        <w:br w:type="textWrapping"/>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02 Explicar que el surgimiento de la agricultura, la domesticación de animales, la sedentarización, la acumulación de bienes y el desarrollo del comercio, fueron procesos de larga duración que revolucionaron la forma en que los seres humanos se relacionaron con el espacio geográfico.</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Open Sans" w:cs="Open Sans" w:eastAsia="Open Sans" w:hAnsi="Open Sans"/>
          <w:b w:val="1"/>
          <w:i w:val="0"/>
          <w:smallCaps w:val="0"/>
          <w:strike w:val="0"/>
          <w:color w:val="6f57a1"/>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Open Sans" w:cs="Open Sans" w:eastAsia="Open Sans" w:hAnsi="Open Sans"/>
          <w:b w:val="1"/>
          <w:i w:val="0"/>
          <w:smallCaps w:val="0"/>
          <w:strike w:val="0"/>
          <w:color w:val="6f57a1"/>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6f57a1"/>
          <w:sz w:val="20"/>
          <w:szCs w:val="20"/>
          <w:u w:val="none"/>
          <w:shd w:fill="auto" w:val="clear"/>
          <w:vertAlign w:val="baseline"/>
          <w:rtl w:val="0"/>
        </w:rPr>
        <w:t xml:space="preserve">RESULTADO DE APRENDIZAJE: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Caracterizar la forma en que los seres humanos se relacionaron con el espacio geográfico durante el Neolítico, mediante el análisis de los cambios y continuidades.</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Open Sans" w:cs="Open Sans" w:eastAsia="Open Sans" w:hAnsi="Open Sans"/>
          <w:b w:val="1"/>
          <w:i w:val="0"/>
          <w:smallCaps w:val="0"/>
          <w:strike w:val="0"/>
          <w:color w:val="6f57a1"/>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6f57a1"/>
          <w:sz w:val="20"/>
          <w:szCs w:val="20"/>
          <w:u w:val="none"/>
          <w:shd w:fill="auto" w:val="clear"/>
          <w:vertAlign w:val="baseline"/>
          <w:rtl w:val="0"/>
        </w:rPr>
        <w:t xml:space="preserve">HABILIDAD DE PENSAMIENTO HISTÓRICO: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Análisis de cambio y continuidad.</w:t>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12701</wp:posOffset>
                </wp:positionH>
                <wp:positionV relativeFrom="paragraph">
                  <wp:posOffset>297196</wp:posOffset>
                </wp:positionV>
                <wp:extent cx="2390775" cy="19050"/>
                <wp:effectExtent b="0" l="0" r="0" t="0"/>
                <wp:wrapNone/>
                <wp:docPr id="22" name=""/>
                <a:graphic>
                  <a:graphicData uri="http://schemas.microsoft.com/office/word/2010/wordprocessingShape">
                    <wps:wsp>
                      <wps:cNvCnPr/>
                      <wps:spPr>
                        <a:xfrm>
                          <a:off x="4150613" y="3780000"/>
                          <a:ext cx="2390775" cy="0"/>
                        </a:xfrm>
                        <a:prstGeom prst="straightConnector1">
                          <a:avLst/>
                        </a:prstGeom>
                        <a:noFill/>
                        <a:ln cap="flat" cmpd="sng" w="19050">
                          <a:solidFill>
                            <a:srgbClr val="6F57A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12701</wp:posOffset>
                </wp:positionH>
                <wp:positionV relativeFrom="paragraph">
                  <wp:posOffset>297196</wp:posOffset>
                </wp:positionV>
                <wp:extent cx="2390775" cy="19050"/>
                <wp:effectExtent b="0" l="0" r="0" t="0"/>
                <wp:wrapNone/>
                <wp:docPr id="22"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2390775" cy="19050"/>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br w:type="textWrapping"/>
      </w:r>
      <w:r w:rsidDel="00000000" w:rsidR="00000000" w:rsidRPr="00000000">
        <w:rPr>
          <w:rFonts w:ascii="Open Sans" w:cs="Open Sans" w:eastAsia="Open Sans" w:hAnsi="Open Sans"/>
          <w:b w:val="1"/>
          <w:i w:val="0"/>
          <w:smallCaps w:val="0"/>
          <w:strike w:val="0"/>
          <w:color w:val="6f57a1"/>
          <w:sz w:val="20"/>
          <w:szCs w:val="20"/>
          <w:u w:val="none"/>
          <w:shd w:fill="auto" w:val="clear"/>
          <w:vertAlign w:val="baseline"/>
          <w:rtl w:val="0"/>
        </w:rPr>
        <w:t xml:space="preserve">INDICACIONES:</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Para docentes: </w:t>
      </w:r>
    </w:p>
    <w:p w:rsidR="00000000" w:rsidDel="00000000" w:rsidP="00000000" w:rsidRDefault="00000000" w:rsidRPr="00000000" w14:paraId="0000000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225" w:before="0" w:line="276" w:lineRule="auto"/>
        <w:ind w:left="720" w:right="0" w:hanging="36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El tiempo estimado para la realización de esta guía de aprendizaje es de tres a cuatro horas pedagógicas.</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225" w:before="0" w:line="276" w:lineRule="auto"/>
        <w:ind w:left="720" w:right="0" w:hanging="36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Se sugiere iniciar la guía recordando o introduciendo los conceptos de Revolución, Proceso, Cambio y Continuidad en la Historia.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Para estudiantes:</w:t>
      </w:r>
    </w:p>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225" w:before="0" w:line="276" w:lineRule="auto"/>
        <w:ind w:left="720" w:right="0" w:hanging="36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Para realizar esta guía deberás, en primer lugar, caracterizar el período histórico del Paleolítico. En segundo lugar, deberás utilizar esto para analizar fuentes históricas y caracterizar la forma en que cambia progresivamente la relación de los seres humanos con su entorno durante el Neolítico. Finalmente, verificarás tu aprendizaje mediante la actividad “viajando en el tiempo”.</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Arial Nova Cond" w:cs="Arial Nova Cond" w:eastAsia="Arial Nova Cond" w:hAnsi="Arial Nova Cond"/>
          <w:b w:val="0"/>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2832100</wp:posOffset>
                </wp:positionH>
                <wp:positionV relativeFrom="paragraph">
                  <wp:posOffset>55896</wp:posOffset>
                </wp:positionV>
                <wp:extent cx="2390775" cy="19050"/>
                <wp:effectExtent b="0" l="0" r="0" t="0"/>
                <wp:wrapNone/>
                <wp:docPr id="23" name=""/>
                <a:graphic>
                  <a:graphicData uri="http://schemas.microsoft.com/office/word/2010/wordprocessingShape">
                    <wps:wsp>
                      <wps:cNvCnPr/>
                      <wps:spPr>
                        <a:xfrm>
                          <a:off x="4150613" y="3780000"/>
                          <a:ext cx="2390775" cy="0"/>
                        </a:xfrm>
                        <a:prstGeom prst="straightConnector1">
                          <a:avLst/>
                        </a:prstGeom>
                        <a:noFill/>
                        <a:ln cap="flat" cmpd="sng" w="19050">
                          <a:solidFill>
                            <a:srgbClr val="6F57A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2832100</wp:posOffset>
                </wp:positionH>
                <wp:positionV relativeFrom="paragraph">
                  <wp:posOffset>55896</wp:posOffset>
                </wp:positionV>
                <wp:extent cx="2390775" cy="19050"/>
                <wp:effectExtent b="0" l="0" r="0" t="0"/>
                <wp:wrapNone/>
                <wp:docPr id="23"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2390775" cy="19050"/>
                        </a:xfrm>
                        <a:prstGeom prst="rect"/>
                        <a:ln/>
                      </pic:spPr>
                    </pic:pic>
                  </a:graphicData>
                </a:graphic>
              </wp:anchor>
            </w:drawing>
          </mc:Fallback>
        </mc:AlternateConten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Arial Nova Cond" w:cs="Arial Nova Cond" w:eastAsia="Arial Nova Cond" w:hAnsi="Arial Nova Cond"/>
          <w:b w:val="0"/>
          <w:i w:val="0"/>
          <w:smallCaps w:val="0"/>
          <w:strike w:val="0"/>
          <w:color w:val="000000"/>
          <w:sz w:val="28"/>
          <w:szCs w:val="28"/>
          <w:u w:val="none"/>
          <w:shd w:fill="auto" w:val="clear"/>
          <w:vertAlign w:val="baseline"/>
        </w:rPr>
      </w:pPr>
      <w:r w:rsidDel="00000000" w:rsidR="00000000" w:rsidRPr="00000000">
        <w:rPr>
          <w:rFonts w:ascii="Arial Nova Cond" w:cs="Arial Nova Cond" w:eastAsia="Arial Nova Cond" w:hAnsi="Arial Nova Cond"/>
          <w:b w:val="0"/>
          <w:i w:val="0"/>
          <w:smallCaps w:val="0"/>
          <w:strike w:val="0"/>
          <w:color w:val="000000"/>
          <w:sz w:val="28"/>
          <w:szCs w:val="28"/>
          <w:u w:val="none"/>
          <w:shd w:fill="auto" w:val="clear"/>
          <w:vertAlign w:val="baseline"/>
          <w:rtl w:val="0"/>
        </w:rPr>
        <w:t xml:space="preserve">EL LARGO PROCESO HACIA EL NEOLÍTICO</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Cambios y continuidades.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Open Sans" w:cs="Open Sans" w:eastAsia="Open Sans" w:hAnsi="Open Sans"/>
          <w:b w:val="1"/>
          <w:i w:val="0"/>
          <w:smallCaps w:val="0"/>
          <w:strike w:val="0"/>
          <w:color w:val="6f57a1"/>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El período del </w:t>
      </w: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Paleolítico </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comienza hacia aproximadamente 2,5 o 2,3 millones de años, cuando los homínidos comenzaron a utilizar herramientas, utensilios o armas de piedras.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Para caracterizar este proceso, analicemos la siguiente fuente: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708"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“Ningún animal grande camina por las ramas de los árboles y, menos aún, salta con dos patas de rama en rama. Pero el simple hecho de vivir en el suelo no sirve para explicar que vayamos erguidos. Vivir en el suelo es, ni más ni menos, lo que hace la mayoría de los mamíferos, que, sin embargo, se desplazan a cuatro patas. Un simio bípedo y bimano sólo tiene sentido desde el punto de vista de la evolución, porque podía hacer en el suelo algo que ninguna otra criatura había hecho nunca tanto ni bien: utilizar las manos para fabricar y transportar herramientas, y utilizar herramientas para satisfacer las necesidades cotidianas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142" w:right="0" w:firstLine="0"/>
        <w:jc w:val="right"/>
        <w:rPr>
          <w:rFonts w:ascii="Open Sans" w:cs="Open Sans" w:eastAsia="Open Sans" w:hAnsi="Open Sans"/>
          <w:b w:val="0"/>
          <w:i w:val="1"/>
          <w:smallCaps w:val="0"/>
          <w:strike w:val="0"/>
          <w:color w:val="000000"/>
          <w:sz w:val="18"/>
          <w:szCs w:val="18"/>
          <w:u w:val="none"/>
          <w:shd w:fill="auto" w:val="clear"/>
          <w:vertAlign w:val="baseline"/>
        </w:rPr>
      </w:pPr>
      <w:r w:rsidDel="00000000" w:rsidR="00000000" w:rsidRPr="00000000">
        <w:rPr>
          <w:rFonts w:ascii="Open Sans" w:cs="Open Sans" w:eastAsia="Open Sans" w:hAnsi="Open Sans"/>
          <w:b w:val="0"/>
          <w:i w:val="0"/>
          <w:smallCaps w:val="0"/>
          <w:strike w:val="0"/>
          <w:color w:val="000000"/>
          <w:sz w:val="18"/>
          <w:szCs w:val="18"/>
          <w:u w:val="none"/>
          <w:shd w:fill="auto" w:val="clear"/>
          <w:vertAlign w:val="baseline"/>
          <w:rtl w:val="0"/>
        </w:rPr>
        <w:t xml:space="preserve">Marvin Harris</w:t>
      </w:r>
      <w:r w:rsidDel="00000000" w:rsidR="00000000" w:rsidRPr="00000000">
        <w:rPr>
          <w:rFonts w:ascii="Open Sans" w:cs="Open Sans" w:eastAsia="Open Sans" w:hAnsi="Open Sans"/>
          <w:b w:val="0"/>
          <w:i w:val="1"/>
          <w:smallCaps w:val="0"/>
          <w:strike w:val="0"/>
          <w:color w:val="000000"/>
          <w:sz w:val="18"/>
          <w:szCs w:val="18"/>
          <w:u w:val="none"/>
          <w:shd w:fill="auto" w:val="clear"/>
          <w:vertAlign w:val="baseline"/>
          <w:rtl w:val="0"/>
        </w:rPr>
        <w:t xml:space="preserve">. (1991). Nuestra especie. </w:t>
      </w:r>
      <w:r w:rsidDel="00000000" w:rsidR="00000000" w:rsidRPr="00000000">
        <w:rPr>
          <w:rFonts w:ascii="Open Sans" w:cs="Open Sans" w:eastAsia="Open Sans" w:hAnsi="Open Sans"/>
          <w:b w:val="0"/>
          <w:i w:val="0"/>
          <w:smallCaps w:val="0"/>
          <w:strike w:val="0"/>
          <w:color w:val="000000"/>
          <w:sz w:val="18"/>
          <w:szCs w:val="18"/>
          <w:u w:val="none"/>
          <w:shd w:fill="auto" w:val="clear"/>
          <w:vertAlign w:val="baseline"/>
          <w:rtl w:val="0"/>
        </w:rPr>
        <w:t xml:space="preserve">Alianza editorial</w:t>
      </w:r>
      <w:r w:rsidDel="00000000" w:rsidR="00000000" w:rsidRPr="00000000">
        <w:rPr>
          <w:rFonts w:ascii="Open Sans" w:cs="Open Sans" w:eastAsia="Open Sans" w:hAnsi="Open Sans"/>
          <w:b w:val="0"/>
          <w:i w:val="1"/>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 </w:t>
      </w: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Considerando la información de la fuente, ¿Por qué se relaciona el uso de utensilios con el proceso de evolución de los seres humanos?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A continuación, profundizaremos en algunos conceptos que debes manejar sobre </w:t>
      </w: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la sociedad</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 durante el Paleolítico</w:t>
      </w:r>
      <w:r w:rsidDel="00000000" w:rsidR="00000000" w:rsidRPr="00000000">
        <w:rPr>
          <w:rFonts w:ascii="Open Sans" w:cs="Open Sans" w:eastAsia="Open Sans" w:hAnsi="Open Sans"/>
          <w:b w:val="0"/>
          <w:i w:val="0"/>
          <w:smallCaps w:val="0"/>
          <w:strike w:val="0"/>
          <w:color w:val="000000"/>
          <w:sz w:val="20"/>
          <w:szCs w:val="20"/>
          <w:u w:val="none"/>
          <w:shd w:fill="auto" w:val="clear"/>
          <w:vertAlign w:val="superscript"/>
        </w:rPr>
        <w:footnoteReference w:customMarkFollows="0" w:id="0"/>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225" w:before="0" w:line="276" w:lineRule="auto"/>
        <w:ind w:left="1079" w:right="0" w:hanging="36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Se organizaban en bandas de no más de cien individuos.</w:t>
      </w:r>
    </w:p>
    <w:p w:rsidR="00000000" w:rsidDel="00000000" w:rsidP="00000000" w:rsidRDefault="00000000" w:rsidRPr="00000000" w14:paraId="0000001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225" w:before="0" w:line="276" w:lineRule="auto"/>
        <w:ind w:left="1079" w:right="0" w:hanging="36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Las bandas se caracterizaban por su igualitarismo (no tenían jefes).</w:t>
      </w:r>
    </w:p>
    <w:p w:rsidR="00000000" w:rsidDel="00000000" w:rsidP="00000000" w:rsidRDefault="00000000" w:rsidRPr="00000000" w14:paraId="0000001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225" w:before="0" w:line="276" w:lineRule="auto"/>
        <w:ind w:left="1079" w:right="0" w:hanging="36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Tenían un estilo de vida nómade (no permanecían en un lugar fijo) y obtenían sus sustentos alimenticios de la recolección, la caza y la pesca. </w:t>
      </w:r>
    </w:p>
    <w:p w:rsidR="00000000" w:rsidDel="00000000" w:rsidP="00000000" w:rsidRDefault="00000000" w:rsidRPr="00000000" w14:paraId="000000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225" w:before="0" w:line="276" w:lineRule="auto"/>
        <w:ind w:left="1079" w:right="0" w:hanging="36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Se llevaba a cabo un tipo de economía depredadora, es decir, una donde se consumen los recursos que el medio otorga de manera natural. </w:t>
      </w:r>
    </w:p>
    <w:p w:rsidR="00000000" w:rsidDel="00000000" w:rsidP="00000000" w:rsidRDefault="00000000" w:rsidRPr="00000000" w14:paraId="0000001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225" w:before="0" w:line="276" w:lineRule="auto"/>
        <w:ind w:left="1079" w:right="0" w:hanging="36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Comenzaron a desarrollar el lenguaje, la ritualidad y las manifestaciones artísticas (arte rupestre)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142"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Hace unos 12000 años, iniciando en el Próximo Oriente, la humanidad transitó hacia un nuevo período histórico, el</w:t>
      </w: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 Neolítico. </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142"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Durante este proceso, poco a poco, los seres humanos comenzaron a </w:t>
      </w: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experimentar y a domesticar</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 plantas (agricultura) y animales (ganadería), lo que cambió para siempre el cómo se relacionaban con su entorno.</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142"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Para caracterizar los </w:t>
      </w: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cambios</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 ocurridos, analiza las siguientes fuentes a partir de las preguntas a continuación:</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708"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“Con el cultivo de sus alimentos modificó el patrón básico de estacionalidad de las plantas, reduciendo las restricciones impuestas por los ciclos climáticos de la Tierra (…)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708"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En este proceso las plantas perdieron la capacidad para diseminarse por sí mismas (…) para volverse más frágiles y completamente dependientes del trabajo humano. Algunos animales dejaron de valerse por sí mismos y también se volvieron estrechamente dependientes del hombre (…)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708"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En este largo proceso de domesticación (…) los cazadores y recolectores fueron parte de un solo ecosistema humanizado”</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142" w:right="0" w:firstLine="0"/>
        <w:jc w:val="right"/>
        <w:rPr>
          <w:rFonts w:ascii="Open Sans" w:cs="Open Sans" w:eastAsia="Open Sans" w:hAnsi="Open Sans"/>
          <w:b w:val="0"/>
          <w:i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b w:val="0"/>
          <w:i w:val="0"/>
          <w:smallCaps w:val="0"/>
          <w:strike w:val="0"/>
          <w:color w:val="000000"/>
          <w:sz w:val="18"/>
          <w:szCs w:val="18"/>
          <w:u w:val="none"/>
          <w:shd w:fill="auto" w:val="clear"/>
          <w:vertAlign w:val="baseline"/>
          <w:rtl w:val="0"/>
        </w:rPr>
        <w:t xml:space="preserve">Toledo, Alejandro. (2006).</w:t>
      </w:r>
      <w:r w:rsidDel="00000000" w:rsidR="00000000" w:rsidRPr="00000000">
        <w:rPr>
          <w:rFonts w:ascii="Open Sans" w:cs="Open Sans" w:eastAsia="Open Sans" w:hAnsi="Open Sans"/>
          <w:b w:val="0"/>
          <w:i w:val="1"/>
          <w:smallCaps w:val="0"/>
          <w:strike w:val="0"/>
          <w:color w:val="000000"/>
          <w:sz w:val="18"/>
          <w:szCs w:val="18"/>
          <w:u w:val="none"/>
          <w:shd w:fill="auto" w:val="clear"/>
          <w:vertAlign w:val="baseline"/>
          <w:rtl w:val="0"/>
        </w:rPr>
        <w:t xml:space="preserve"> Agua, hombre y paisaje. </w:t>
      </w:r>
      <w:r w:rsidDel="00000000" w:rsidR="00000000" w:rsidRPr="00000000">
        <w:rPr>
          <w:rFonts w:ascii="Open Sans" w:cs="Open Sans" w:eastAsia="Open Sans" w:hAnsi="Open Sans"/>
          <w:b w:val="0"/>
          <w:i w:val="0"/>
          <w:smallCaps w:val="0"/>
          <w:strike w:val="0"/>
          <w:color w:val="000000"/>
          <w:sz w:val="18"/>
          <w:szCs w:val="18"/>
          <w:u w:val="none"/>
          <w:shd w:fill="auto" w:val="clear"/>
          <w:vertAlign w:val="baseline"/>
          <w:rtl w:val="0"/>
        </w:rPr>
        <w:t xml:space="preserve">Instituto Nacional de Ecología.</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142" w:right="0" w:firstLine="0"/>
        <w:jc w:val="left"/>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¿Durante el Neolítico se mantiene la relación entre humanos y animales-plantas que había durante el paleolítico? ¿Por qué? Justifica a partir de la fuente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142" w:right="0" w:firstLine="0"/>
        <w:jc w:val="left"/>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El proceso anterior ocurre durante milenios en distintas sociedades y lugares muy distantes entre sí, lo que generó una </w:t>
      </w: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transición de una economía depredadora a una productora</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 basada en la agricultura y ganadería doméstica.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Considerando esto y la fuente anterior, </w:t>
      </w: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¿Por qué crees que el cambio de una economía depredadora a una productora fue tan importante para las sociedades?</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Además de ello, el desarrollo de una economía productora permitió desarrollar un proceso de </w:t>
      </w: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sedentarización</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 es decir, las comunidades comenzaron a vivir permanentemente en un lugar fijo (aldeas).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Esto, también les permitió planificar la producción de tal manera que hizo posible </w:t>
      </w: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disponer de alimentos en el futuro</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 dándoles una sensación de seguridad.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Para caracterizar el </w:t>
      </w: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impacto en las sociedades</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 durante el Neolítico, analizaremos la siguiente fuente:</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705"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“Cada casa neolítica cultivaba y preparaba sus alimentos, elaboraba sus vasijas, rojas, herramientas y otros elementos. Las mujeres labraban las parcelas, molían y cocinaban los granos, hilaban, tejían y confeccionaban ropas, moldeaban y cocían los recipientes y preparaban adornos y artículos mágicos. Los hombres, por su parte, construían las chozas, cuidaban el ganado, cazaban y fabricaban las herramientas y armas necesarias. Además, cada aldea podía abastecerse a sí misma: podía elaborar todo su equipamiento con los materiales que se conseguían localmente: piedra, hueso, madera y arcilla”</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705" w:right="0" w:firstLine="0"/>
        <w:jc w:val="righ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18"/>
          <w:szCs w:val="18"/>
          <w:u w:val="none"/>
          <w:shd w:fill="auto" w:val="clear"/>
          <w:vertAlign w:val="baseline"/>
          <w:rtl w:val="0"/>
        </w:rPr>
        <w:t xml:space="preserve">Gordon Childe, V. (1985</w:t>
      </w:r>
      <w:r w:rsidDel="00000000" w:rsidR="00000000" w:rsidRPr="00000000">
        <w:rPr>
          <w:rFonts w:ascii="Open Sans" w:cs="Open Sans" w:eastAsia="Open Sans" w:hAnsi="Open Sans"/>
          <w:b w:val="0"/>
          <w:i w:val="1"/>
          <w:smallCaps w:val="0"/>
          <w:strike w:val="0"/>
          <w:color w:val="000000"/>
          <w:sz w:val="18"/>
          <w:szCs w:val="18"/>
          <w:u w:val="none"/>
          <w:shd w:fill="auto" w:val="clear"/>
          <w:vertAlign w:val="baseline"/>
          <w:rtl w:val="0"/>
        </w:rPr>
        <w:t xml:space="preserve">) ¿Qué sucedió en la historia?</w:t>
      </w:r>
      <w:r w:rsidDel="00000000" w:rsidR="00000000" w:rsidRPr="00000000">
        <w:rPr>
          <w:rFonts w:ascii="Open Sans" w:cs="Open Sans" w:eastAsia="Open Sans" w:hAnsi="Open Sans"/>
          <w:b w:val="0"/>
          <w:i w:val="0"/>
          <w:smallCaps w:val="0"/>
          <w:strike w:val="0"/>
          <w:color w:val="000000"/>
          <w:sz w:val="18"/>
          <w:szCs w:val="18"/>
          <w:u w:val="none"/>
          <w:shd w:fill="auto" w:val="clear"/>
          <w:vertAlign w:val="baseline"/>
          <w:rtl w:val="0"/>
        </w:rPr>
        <w:t xml:space="preserve"> Planeta Agostini</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225" w:before="0" w:line="276" w:lineRule="auto"/>
        <w:ind w:left="720" w:right="0" w:hanging="36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Considerando la información de la fuente, ¿Qué concepto usarías para caracterizar la “casa Neolítica”? ¿Por qué? </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225" w:before="0" w:line="276" w:lineRule="auto"/>
        <w:ind w:left="720" w:right="0" w:hanging="36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Considerando la información de la fuente, ¿De qué forma caracterizarías el trabajo durante el Neolítico? </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225" w:before="0" w:line="276" w:lineRule="auto"/>
        <w:ind w:left="720" w:right="0" w:hanging="360"/>
        <w:jc w:val="left"/>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Considerando la información de la fuente y lo trabajado anteriormente, ¿Se mantienen elementos entre el período Paleolítico y Neolítico? ¿Qué elementos cambian entre ambas épocas?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both"/>
        <w:rPr>
          <w:rFonts w:ascii="Open Sans" w:cs="Open Sans" w:eastAsia="Open Sans" w:hAnsi="Open Sans"/>
          <w:b w:val="1"/>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Tal como se menciona en la fuente anterior, las sociedades del Neolítico comenzaron a desarrollar </w:t>
      </w: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avances técnicos para mejorar su calidad de vida</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 entre ellos, la cerámica, la textilería y la cestería</w:t>
      </w:r>
      <w:r w:rsidDel="00000000" w:rsidR="00000000" w:rsidRPr="00000000">
        <w:rPr>
          <w:rFonts w:ascii="Open Sans" w:cs="Open Sans" w:eastAsia="Open Sans" w:hAnsi="Open Sans"/>
          <w:b w:val="0"/>
          <w:i w:val="0"/>
          <w:smallCaps w:val="0"/>
          <w:strike w:val="0"/>
          <w:color w:val="000000"/>
          <w:sz w:val="20"/>
          <w:szCs w:val="20"/>
          <w:u w:val="none"/>
          <w:shd w:fill="auto" w:val="clear"/>
          <w:vertAlign w:val="superscript"/>
        </w:rPr>
        <w:footnoteReference w:customMarkFollows="0" w:id="1"/>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sectPr>
          <w:headerReference r:id="rId10" w:type="default"/>
          <w:footerReference r:id="rId11" w:type="default"/>
          <w:pgSz w:h="15840" w:w="12240" w:orient="portrait"/>
          <w:pgMar w:bottom="2268" w:top="2268" w:left="1985" w:right="1985" w:header="709" w:footer="709"/>
          <w:pgNumType w:start="1"/>
          <w:cols w:equalWidth="0" w:num="2">
            <w:col w:space="708" w:w="3781"/>
            <w:col w:space="0" w:w="3781"/>
          </w:cols>
        </w:sect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¿Cómo es que estos procesos comenzaron a masificarse en partes tan apartadas del mundo? </w:t>
      </w: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Rutas comerciales</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 que permitieron el intercambio de alimentos, objetos e ideas; tal como podemos apreciar en la siguiente línea de tiempo:</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right"/>
        <w:rPr>
          <w:rFonts w:ascii="Open Sans" w:cs="Open Sans" w:eastAsia="Open Sans" w:hAnsi="Open Sans"/>
          <w:b w:val="0"/>
          <w:i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Pr>
        <w:drawing>
          <wp:inline distB="0" distT="0" distL="0" distR="0">
            <wp:extent cx="5153796" cy="2426278"/>
            <wp:effectExtent b="0" l="0" r="0" t="0"/>
            <wp:docPr descr="Escala de tiempo&#10;&#10;Descripción generada automáticamente" id="26" name="image3.jpg"/>
            <a:graphic>
              <a:graphicData uri="http://schemas.openxmlformats.org/drawingml/2006/picture">
                <pic:pic>
                  <pic:nvPicPr>
                    <pic:cNvPr descr="Escala de tiempo&#10;&#10;Descripción generada automáticamente" id="0" name="image3.jpg"/>
                    <pic:cNvPicPr preferRelativeResize="0"/>
                  </pic:nvPicPr>
                  <pic:blipFill>
                    <a:blip r:embed="rId12"/>
                    <a:srcRect b="0" l="0" r="0" t="0"/>
                    <a:stretch>
                      <a:fillRect/>
                    </a:stretch>
                  </pic:blipFill>
                  <pic:spPr>
                    <a:xfrm>
                      <a:off x="0" y="0"/>
                      <a:ext cx="5153796" cy="2426278"/>
                    </a:xfrm>
                    <a:prstGeom prst="rect"/>
                    <a:ln/>
                  </pic:spPr>
                </pic:pic>
              </a:graphicData>
            </a:graphic>
          </wp:inline>
        </w:drawing>
      </w:r>
      <w:r w:rsidDel="00000000" w:rsidR="00000000" w:rsidRPr="00000000">
        <w:rPr>
          <w:rFonts w:ascii="Open Sans" w:cs="Open Sans" w:eastAsia="Open Sans" w:hAnsi="Open Sans"/>
          <w:b w:val="0"/>
          <w:i w:val="0"/>
          <w:smallCaps w:val="0"/>
          <w:strike w:val="0"/>
          <w:color w:val="000000"/>
          <w:sz w:val="18"/>
          <w:szCs w:val="18"/>
          <w:u w:val="none"/>
          <w:shd w:fill="auto" w:val="clear"/>
          <w:vertAlign w:val="baseline"/>
          <w:rtl w:val="0"/>
        </w:rPr>
        <w:t xml:space="preserve">Elaboración propia a partir de:  Mas Fenollar, Mario (2013). Sumerios en Andalucía: una revisión a la Prehistoria del Mediterráneo.  Cultiva S.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right"/>
        <w:rPr>
          <w:rFonts w:ascii="Open Sans" w:cs="Open Sans" w:eastAsia="Open Sans" w:hAnsi="Open Sans"/>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right"/>
        <w:rPr>
          <w:rFonts w:ascii="Open Sans" w:cs="Open Sans" w:eastAsia="Open Sans" w:hAnsi="Open Sans"/>
          <w:b w:val="0"/>
          <w:i w:val="0"/>
          <w:smallCaps w:val="0"/>
          <w:strike w:val="0"/>
          <w:color w:val="000000"/>
          <w:sz w:val="18"/>
          <w:szCs w:val="18"/>
          <w:u w:val="none"/>
          <w:shd w:fill="auto" w:val="clear"/>
          <w:vertAlign w:val="baseline"/>
        </w:rPr>
        <w:sectPr>
          <w:type w:val="continuous"/>
          <w:pgSz w:h="15840" w:w="12240" w:orient="portrait"/>
          <w:pgMar w:bottom="2268" w:top="2268" w:left="1985" w:right="1985" w:header="709" w:footer="709"/>
        </w:sect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0"/>
          <w:i w:val="0"/>
          <w:smallCaps w:val="0"/>
          <w:strike w:val="0"/>
          <w:color w:val="000000"/>
          <w:sz w:val="18"/>
          <w:szCs w:val="18"/>
          <w:u w:val="none"/>
          <w:shd w:fill="auto" w:val="clear"/>
          <w:vertAlign w:val="baseline"/>
        </w:rPr>
      </w:pPr>
      <w:r w:rsidDel="00000000" w:rsidR="00000000" w:rsidRPr="00000000">
        <w:rPr>
          <w:rtl w:val="0"/>
        </w:rPr>
      </w:r>
    </w:p>
    <w:tbl>
      <w:tblPr>
        <w:tblStyle w:val="Table1"/>
        <w:tblW w:w="924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6835"/>
        <w:tblGridChange w:id="0">
          <w:tblGrid>
            <w:gridCol w:w="2410"/>
            <w:gridCol w:w="6835"/>
          </w:tblGrid>
        </w:tblGridChange>
      </w:tblGrid>
      <w:tr>
        <w:trPr>
          <w:cantSplit w:val="0"/>
          <w:trHeight w:val="574" w:hRule="atLeast"/>
          <w:tblHeader w:val="0"/>
        </w:trPr>
        <w:tc>
          <w:tcPr>
            <w:tcBorders>
              <w:top w:color="000000" w:space="0" w:sz="0" w:val="nil"/>
              <w:left w:color="000000" w:space="0" w:sz="0" w:val="nil"/>
              <w:bottom w:color="000000" w:space="0" w:sz="0" w:val="nil"/>
              <w:right w:color="000000" w:space="0" w:sz="0" w:val="nil"/>
            </w:tcBorders>
            <w:shd w:fill="7e57c2" w:val="clea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ffffff"/>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ffffff"/>
                <w:sz w:val="20"/>
                <w:szCs w:val="20"/>
                <w:u w:val="none"/>
                <w:shd w:fill="auto" w:val="clear"/>
                <w:vertAlign w:val="baseline"/>
                <w:rtl w:val="0"/>
              </w:rPr>
              <w:t xml:space="preserve">Criterios de evaluación</w:t>
            </w:r>
          </w:p>
        </w:tc>
        <w:tc>
          <w:tcPr>
            <w:tcBorders>
              <w:top w:color="000000" w:space="0" w:sz="0" w:val="nil"/>
              <w:left w:color="000000" w:space="0" w:sz="0" w:val="nil"/>
              <w:bottom w:color="000000" w:space="0" w:sz="0" w:val="nil"/>
              <w:right w:color="000000" w:space="0" w:sz="0" w:val="nil"/>
            </w:tcBorders>
            <w:shd w:fill="7e57c2" w:val="clear"/>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i w:val="0"/>
                <w:smallCaps w:val="0"/>
                <w:strike w:val="0"/>
                <w:color w:val="ffffff"/>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ffffff"/>
                <w:sz w:val="20"/>
                <w:szCs w:val="20"/>
                <w:u w:val="none"/>
                <w:shd w:fill="auto" w:val="clear"/>
                <w:vertAlign w:val="baseline"/>
                <w:rtl w:val="0"/>
              </w:rPr>
              <w:t xml:space="preserve">Descripción</w:t>
            </w:r>
          </w:p>
        </w:tc>
      </w:tr>
      <w:tr>
        <w:trPr>
          <w:cantSplit w:val="0"/>
          <w:trHeight w:val="428" w:hRule="atLeast"/>
          <w:tblHeader w:val="0"/>
        </w:trPr>
        <w:tc>
          <w:tcPr>
            <w:tcBorders>
              <w:top w:color="000000" w:space="0" w:sz="0" w:val="nil"/>
              <w:left w:color="000000" w:space="0" w:sz="0" w:val="nil"/>
              <w:bottom w:color="7e57c2" w:space="0" w:sz="4" w:val="single"/>
              <w:right w:color="000000" w:space="0" w:sz="0" w:val="nil"/>
            </w:tcBorders>
            <w:shd w:fill="f0ecf8" w:val="clear"/>
            <w:vAlign w:val="cente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Caracterizar dinámicas ser humano-ambiente durante el Neolítico</w:t>
            </w:r>
          </w:p>
        </w:tc>
        <w:tc>
          <w:tcPr>
            <w:tcBorders>
              <w:top w:color="000000" w:space="0" w:sz="0" w:val="nil"/>
              <w:left w:color="000000" w:space="0" w:sz="0" w:val="nil"/>
              <w:bottom w:color="7e57c2" w:space="0" w:sz="4" w:val="single"/>
              <w:right w:color="000000" w:space="0" w:sz="0" w:val="nil"/>
            </w:tcBorders>
            <w:vAlign w:val="cente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Caracterizar, de manera clara y coherente con las fuentes históricas, la forma en que los seres humanos se relacionaron con el espacio geográfico durante el Neolítico, mediante el análisis de los cambios y continuidades respecto al período histórico Paleolítico. </w:t>
            </w:r>
          </w:p>
        </w:tc>
      </w:tr>
      <w:tr>
        <w:trPr>
          <w:cantSplit w:val="0"/>
          <w:trHeight w:val="428" w:hRule="atLeast"/>
          <w:tblHeader w:val="0"/>
        </w:trPr>
        <w:tc>
          <w:tcPr>
            <w:tcBorders>
              <w:top w:color="7e57c2" w:space="0" w:sz="4" w:val="single"/>
              <w:left w:color="000000" w:space="0" w:sz="0" w:val="nil"/>
              <w:bottom w:color="7e57c2" w:space="0" w:sz="4" w:val="single"/>
              <w:right w:color="000000" w:space="0" w:sz="0" w:val="nil"/>
            </w:tcBorders>
            <w:shd w:fill="f0ecf8" w:val="cle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Análisis del cambio y la continuidad</w:t>
            </w:r>
          </w:p>
        </w:tc>
        <w:tc>
          <w:tcPr>
            <w:tcBorders>
              <w:top w:color="7e57c2" w:space="0" w:sz="4" w:val="single"/>
              <w:left w:color="000000" w:space="0" w:sz="0" w:val="nil"/>
              <w:bottom w:color="7e57c2" w:space="0" w:sz="4" w:val="single"/>
              <w:right w:color="000000" w:space="0" w:sz="0" w:val="nil"/>
            </w:tcBorders>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Identifica, relaciona y reflexiona en torno a los procesos de cambio y de continuidad con el período de Paleolítico que viven los seres humanos durante el Neolítico en relación con su entorno. </w:t>
            </w:r>
          </w:p>
        </w:tc>
      </w:tr>
      <w:tr>
        <w:trPr>
          <w:cantSplit w:val="0"/>
          <w:trHeight w:val="428" w:hRule="atLeast"/>
          <w:tblHeader w:val="0"/>
        </w:trPr>
        <w:tc>
          <w:tcPr>
            <w:tcBorders>
              <w:top w:color="7e57c2" w:space="0" w:sz="4" w:val="single"/>
              <w:left w:color="000000" w:space="0" w:sz="0" w:val="nil"/>
              <w:bottom w:color="7e57c2" w:space="0" w:sz="4" w:val="single"/>
              <w:right w:color="000000" w:space="0" w:sz="0" w:val="nil"/>
            </w:tcBorders>
            <w:shd w:fill="f0ecf8" w:val="cle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Uso de fuentes</w:t>
            </w:r>
          </w:p>
        </w:tc>
        <w:tc>
          <w:tcPr>
            <w:tcBorders>
              <w:top w:color="7e57c2" w:space="0" w:sz="4" w:val="single"/>
              <w:left w:color="000000" w:space="0" w:sz="0" w:val="nil"/>
              <w:bottom w:color="7e57c2" w:space="0" w:sz="4" w:val="single"/>
              <w:right w:color="000000" w:space="0" w:sz="0" w:val="nil"/>
            </w:tcBorders>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Identifica, relaciona y reflexiona, de manera coherente y clara, a partir del contenido de las fuentes históricas trabajadas.  </w:t>
            </w:r>
          </w:p>
        </w:tc>
      </w:tr>
    </w:tbl>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76"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sectPr>
          <w:type w:val="continuous"/>
          <w:pgSz w:h="15840" w:w="12240" w:orient="portrait"/>
          <w:pgMar w:bottom="2268" w:top="2268" w:left="1985" w:right="1985" w:header="709" w:footer="709"/>
        </w:sect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Nova Cond" w:cs="Arial Nova Cond" w:eastAsia="Arial Nova Cond" w:hAnsi="Arial Nova Cond"/>
          <w:b w:val="1"/>
          <w:i w:val="0"/>
          <w:smallCaps w:val="0"/>
          <w:strike w:val="0"/>
          <w:color w:val="0d0d0d"/>
          <w:sz w:val="44"/>
          <w:szCs w:val="44"/>
          <w:u w:val="none"/>
          <w:shd w:fill="auto" w:val="clear"/>
          <w:vertAlign w:val="baseline"/>
        </w:rPr>
        <w:sectPr>
          <w:type w:val="continuous"/>
          <w:pgSz w:h="15840" w:w="12240" w:orient="portrait"/>
          <w:pgMar w:bottom="2268" w:top="2268" w:left="1985" w:right="1985" w:header="709" w:footer="709"/>
          <w:cols w:equalWidth="0" w:num="2">
            <w:col w:space="708" w:w="3781"/>
            <w:col w:space="0" w:w="3781"/>
          </w:cols>
        </w:sect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Arial Nova Cond" w:cs="Arial Nova Cond" w:eastAsia="Arial Nova Cond" w:hAnsi="Arial Nova Cond"/>
          <w:b w:val="1"/>
          <w:i w:val="0"/>
          <w:smallCaps w:val="0"/>
          <w:strike w:val="0"/>
          <w:color w:val="0d0d0d"/>
          <w:sz w:val="44"/>
          <w:szCs w:val="44"/>
          <w:u w:val="none"/>
          <w:shd w:fill="auto" w:val="clear"/>
          <w:vertAlign w:val="baseline"/>
          <w:rtl w:val="0"/>
        </w:rPr>
        <w:t xml:space="preserve">VERIFICACIÓN DE</w:t>
        <w:br w:type="textWrapping"/>
        <w:t xml:space="preserve">MIS APRENDIZAJES</w:t>
      </w:r>
      <w:r w:rsidDel="00000000" w:rsidR="00000000" w:rsidRPr="00000000">
        <w:rPr>
          <w:rtl w:val="0"/>
        </w:rPr>
      </w:r>
    </w:p>
    <w:p w:rsidR="00000000" w:rsidDel="00000000" w:rsidP="00000000" w:rsidRDefault="00000000" w:rsidRPr="00000000" w14:paraId="00000046">
      <w:pPr>
        <w:spacing w:line="360" w:lineRule="auto"/>
        <w:rPr>
          <w:rFonts w:ascii="Open Sans" w:cs="Open Sans" w:eastAsia="Open Sans" w:hAnsi="Open Sans"/>
          <w:color w:val="000000"/>
          <w:sz w:val="20"/>
          <w:szCs w:val="20"/>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Para ordenar y verificar tus aprendizajes deberás realizar la actividad “Viajando en el tiempo”:</w:t>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225" w:before="0" w:line="240" w:lineRule="auto"/>
        <w:ind w:left="720" w:right="0" w:hanging="36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Imagina que eres una persona que vive durante el período histórico que hoy conocemos como Paleolítico y, luego de pasar por extrañas circunstancias, viajas en el tiempo hacia una época diferente a la tuya, donde las personas tienen un estilo de vida diferente al que acostumbras (período que hoy conocemos como Neolítico).</w:t>
      </w:r>
    </w:p>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225" w:before="0" w:line="240" w:lineRule="auto"/>
        <w:ind w:left="720" w:right="0" w:hanging="36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Cuando vuelves y cuentas tus aventuras, nadie en la banda a la que perteneces parece creerte, sin embargo, te piden que indiques qué era similar y qué era diferente de ese lugar al que habías viajado.</w:t>
      </w:r>
    </w:p>
    <w:p w:rsidR="00000000" w:rsidDel="00000000" w:rsidP="00000000" w:rsidRDefault="00000000" w:rsidRPr="00000000" w14:paraId="000000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225" w:before="0" w:line="240" w:lineRule="auto"/>
        <w:ind w:left="720" w:right="0" w:hanging="36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Realiza esta comparación en la siguiente tabla. No olvides hablar en primera persona (yo) y utilizar información que exclusivamente hayas trabajado en esta guía: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 </w:t>
      </w:r>
    </w:p>
    <w:tbl>
      <w:tblPr>
        <w:tblStyle w:val="Table2"/>
        <w:tblW w:w="924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6835"/>
        <w:tblGridChange w:id="0">
          <w:tblGrid>
            <w:gridCol w:w="2410"/>
            <w:gridCol w:w="6835"/>
          </w:tblGrid>
        </w:tblGridChange>
      </w:tblGrid>
      <w:tr>
        <w:trPr>
          <w:cantSplit w:val="0"/>
          <w:trHeight w:val="574" w:hRule="atLeast"/>
          <w:tblHeader w:val="0"/>
        </w:trPr>
        <w:tc>
          <w:tcPr>
            <w:tcBorders>
              <w:top w:color="000000" w:space="0" w:sz="0" w:val="nil"/>
              <w:left w:color="000000" w:space="0" w:sz="0" w:val="nil"/>
              <w:bottom w:color="000000" w:space="0" w:sz="0" w:val="nil"/>
              <w:right w:color="000000" w:space="0" w:sz="0" w:val="nil"/>
            </w:tcBorders>
            <w:shd w:fill="7e57c2" w:val="clea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ffffff"/>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ffffff"/>
                <w:sz w:val="20"/>
                <w:szCs w:val="20"/>
                <w:u w:val="none"/>
                <w:shd w:fill="auto" w:val="clear"/>
                <w:vertAlign w:val="baseline"/>
                <w:rtl w:val="0"/>
              </w:rPr>
              <w:t xml:space="preserve">Aspecto para comparar</w:t>
            </w:r>
          </w:p>
        </w:tc>
        <w:tc>
          <w:tcPr>
            <w:tcBorders>
              <w:top w:color="000000" w:space="0" w:sz="0" w:val="nil"/>
              <w:left w:color="000000" w:space="0" w:sz="0" w:val="nil"/>
              <w:bottom w:color="000000" w:space="0" w:sz="0" w:val="nil"/>
              <w:right w:color="000000" w:space="0" w:sz="0" w:val="nil"/>
            </w:tcBorders>
            <w:shd w:fill="7e57c2" w:val="clea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i w:val="0"/>
                <w:smallCaps w:val="0"/>
                <w:strike w:val="0"/>
                <w:color w:val="ffffff"/>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ffffff"/>
                <w:sz w:val="20"/>
                <w:szCs w:val="20"/>
                <w:u w:val="none"/>
                <w:shd w:fill="auto" w:val="clear"/>
                <w:vertAlign w:val="baseline"/>
                <w:rtl w:val="0"/>
              </w:rPr>
              <w:t xml:space="preserve">¿Qué era similar? ¿Qué era diferente? Explica</w:t>
            </w:r>
          </w:p>
        </w:tc>
      </w:tr>
      <w:tr>
        <w:trPr>
          <w:cantSplit w:val="0"/>
          <w:trHeight w:val="428" w:hRule="atLeast"/>
          <w:tblHeader w:val="0"/>
        </w:trPr>
        <w:tc>
          <w:tcPr>
            <w:tcBorders>
              <w:top w:color="000000" w:space="0" w:sz="0" w:val="nil"/>
              <w:left w:color="000000" w:space="0" w:sz="0" w:val="nil"/>
              <w:bottom w:color="7e57c2" w:space="0" w:sz="4" w:val="single"/>
              <w:right w:color="000000" w:space="0" w:sz="0" w:val="nil"/>
            </w:tcBorders>
            <w:shd w:fill="f0ecf8" w:val="clea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Ejemplo: Comercio</w:t>
            </w:r>
          </w:p>
        </w:tc>
        <w:tc>
          <w:tcPr>
            <w:tcBorders>
              <w:top w:color="000000" w:space="0" w:sz="0" w:val="nil"/>
              <w:left w:color="000000" w:space="0" w:sz="0" w:val="nil"/>
              <w:bottom w:color="7e57c2" w:space="0" w:sz="4" w:val="single"/>
              <w:right w:color="000000" w:space="0" w:sz="0" w:val="nil"/>
            </w:tcBorders>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Había algo que cambiaba, había gente que viajaba con un montón de comida (pero su familia se quedaba) y por un largo tiempo. </w:t>
            </w:r>
          </w:p>
        </w:tc>
      </w:tr>
      <w:tr>
        <w:trPr>
          <w:cantSplit w:val="0"/>
          <w:trHeight w:val="428" w:hRule="atLeast"/>
          <w:tblHeader w:val="0"/>
        </w:trPr>
        <w:tc>
          <w:tcPr>
            <w:tcBorders>
              <w:top w:color="7e57c2" w:space="0" w:sz="4" w:val="single"/>
              <w:left w:color="000000" w:space="0" w:sz="0" w:val="nil"/>
              <w:bottom w:color="7e57c2" w:space="0" w:sz="4" w:val="single"/>
              <w:right w:color="000000" w:space="0" w:sz="0" w:val="nil"/>
            </w:tcBorders>
            <w:shd w:fill="f0ecf8" w:val="clea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1.</w:t>
            </w:r>
          </w:p>
        </w:tc>
        <w:tc>
          <w:tcPr>
            <w:tcBorders>
              <w:top w:color="7e57c2" w:space="0" w:sz="4" w:val="single"/>
              <w:left w:color="000000" w:space="0" w:sz="0" w:val="nil"/>
              <w:bottom w:color="7e57c2" w:space="0" w:sz="4" w:val="single"/>
              <w:right w:color="000000" w:space="0" w:sz="0" w:val="nil"/>
            </w:tcBorders>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28" w:hRule="atLeast"/>
          <w:tblHeader w:val="0"/>
        </w:trPr>
        <w:tc>
          <w:tcPr>
            <w:tcBorders>
              <w:top w:color="7e57c2" w:space="0" w:sz="4" w:val="single"/>
              <w:left w:color="000000" w:space="0" w:sz="0" w:val="nil"/>
              <w:bottom w:color="7e57c2" w:space="0" w:sz="4" w:val="single"/>
              <w:right w:color="000000" w:space="0" w:sz="0" w:val="nil"/>
            </w:tcBorders>
            <w:shd w:fill="f0ecf8" w:val="clea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2. </w:t>
            </w:r>
          </w:p>
        </w:tc>
        <w:tc>
          <w:tcPr>
            <w:tcBorders>
              <w:top w:color="7e57c2" w:space="0" w:sz="4" w:val="single"/>
              <w:left w:color="000000" w:space="0" w:sz="0" w:val="nil"/>
              <w:bottom w:color="7e57c2" w:space="0" w:sz="4" w:val="single"/>
              <w:right w:color="000000" w:space="0" w:sz="0" w:val="nil"/>
            </w:tcBorders>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28" w:hRule="atLeast"/>
          <w:tblHeader w:val="0"/>
        </w:trPr>
        <w:tc>
          <w:tcPr>
            <w:tcBorders>
              <w:top w:color="7e57c2" w:space="0" w:sz="4" w:val="single"/>
              <w:left w:color="000000" w:space="0" w:sz="0" w:val="nil"/>
              <w:bottom w:color="7e57c2" w:space="0" w:sz="4" w:val="single"/>
              <w:right w:color="000000" w:space="0" w:sz="0" w:val="nil"/>
            </w:tcBorders>
            <w:shd w:fill="f0ecf8" w:val="clear"/>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3.</w:t>
            </w:r>
          </w:p>
        </w:tc>
        <w:tc>
          <w:tcPr>
            <w:tcBorders>
              <w:top w:color="7e57c2" w:space="0" w:sz="4" w:val="single"/>
              <w:left w:color="000000" w:space="0" w:sz="0" w:val="nil"/>
              <w:bottom w:color="7e57c2" w:space="0" w:sz="4" w:val="single"/>
              <w:right w:color="000000" w:space="0" w:sz="0" w:val="nil"/>
            </w:tcBorders>
            <w:vAlign w:val="cente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40" w:lineRule="auto"/>
        <w:ind w:left="0" w:right="0" w:firstLine="0"/>
        <w:jc w:val="left"/>
        <w:rPr>
          <w:rFonts w:ascii="Open Sans" w:cs="Open Sans" w:eastAsia="Open Sans" w:hAnsi="Open Sans"/>
          <w:b w:val="0"/>
          <w:i w:val="0"/>
          <w:smallCaps w:val="0"/>
          <w:strike w:val="0"/>
          <w:color w:val="000000"/>
          <w:sz w:val="20"/>
          <w:szCs w:val="20"/>
          <w:u w:val="none"/>
          <w:shd w:fill="auto" w:val="clear"/>
          <w:vertAlign w:val="baseline"/>
        </w:rPr>
        <w:sectPr>
          <w:type w:val="continuous"/>
          <w:pgSz w:h="15840" w:w="12240" w:orient="portrait"/>
          <w:pgMar w:bottom="2268" w:top="2268" w:left="1985" w:right="1985" w:header="709" w:footer="709"/>
        </w:sectPr>
      </w:pPr>
      <w:r w:rsidDel="00000000" w:rsidR="00000000" w:rsidRPr="00000000">
        <w:rPr>
          <w:rtl w:val="0"/>
        </w:rPr>
      </w:r>
    </w:p>
    <w:p w:rsidR="00000000" w:rsidDel="00000000" w:rsidP="00000000" w:rsidRDefault="00000000" w:rsidRPr="00000000" w14:paraId="00000057">
      <w:pPr>
        <w:spacing w:line="360" w:lineRule="auto"/>
        <w:rPr>
          <w:rFonts w:ascii="Open Sans" w:cs="Open Sans" w:eastAsia="Open Sans" w:hAnsi="Open Sans"/>
          <w:color w:val="000000"/>
          <w:sz w:val="21"/>
          <w:szCs w:val="21"/>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ffffff" w:val="clear"/>
        <w:spacing w:after="225" w:before="0" w:line="240" w:lineRule="auto"/>
        <w:ind w:left="720" w:right="0" w:firstLine="0"/>
        <w:jc w:val="both"/>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sectPr>
      <w:headerReference r:id="rId13" w:type="default"/>
      <w:footerReference r:id="rId14" w:type="default"/>
      <w:type w:val="continuous"/>
      <w:pgSz w:h="15840" w:w="12240" w:orient="portrait"/>
      <w:pgMar w:bottom="2268" w:top="2268" w:left="1985" w:right="1985" w:header="709" w:footer="709"/>
      <w:cols w:equalWidth="0" w:num="2">
        <w:col w:space="708" w:w="3781"/>
        <w:col w:space="0" w:w="3781"/>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 w:name="Arial Nova Cond"/>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3854450</wp:posOffset>
          </wp:positionH>
          <wp:positionV relativeFrom="paragraph">
            <wp:posOffset>0</wp:posOffset>
          </wp:positionV>
          <wp:extent cx="1397000" cy="371475"/>
          <wp:effectExtent b="0" l="0" r="0" t="0"/>
          <wp:wrapNone/>
          <wp:docPr id="28"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1397000" cy="37147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3854450</wp:posOffset>
          </wp:positionH>
          <wp:positionV relativeFrom="paragraph">
            <wp:posOffset>0</wp:posOffset>
          </wp:positionV>
          <wp:extent cx="1397000" cy="371475"/>
          <wp:effectExtent b="0" l="0" r="0" t="0"/>
          <wp:wrapNone/>
          <wp:docPr id="27"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1397000" cy="371475"/>
                  </a:xfrm>
                  <a:prstGeom prst="rect"/>
                  <a:ln/>
                </pic:spPr>
              </pic:pic>
            </a:graphicData>
          </a:graphic>
        </wp:anchor>
      </w:drawing>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Para ilustrar estos procesos, se recomienda acompañar de imágenes como el recurso A de la página 26 del Texto del Estudiante, Historia, Geografía y Ciencias Sociales 7°. Beltrán, Fuentes, Panza, Valdés. (2021) Ministerio de educación, Chile. </w:t>
      </w:r>
    </w:p>
  </w:footnote>
  <w:footnote w:id="1">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Para ilustrar estos procesos, se recomienda acompañar de imágenes como el recurso A de la página 40 del Texto del Estudiante, Historia, Geografía y Ciencias Sociales 7°. Beltrán, Fuentes, Panza, Valdés. (2021) Ministerio de educación, Chile.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Open Sans" w:cs="Open Sans" w:eastAsia="Open Sans" w:hAnsi="Open Sans"/>
        <w:b w:val="0"/>
        <w:i w:val="1"/>
        <w:smallCaps w:val="0"/>
        <w:strike w:val="0"/>
        <w:color w:val="80808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6350</wp:posOffset>
          </wp:positionH>
          <wp:positionV relativeFrom="page">
            <wp:posOffset>800100</wp:posOffset>
          </wp:positionV>
          <wp:extent cx="1511300" cy="238125"/>
          <wp:effectExtent b="0" l="0" r="0" t="0"/>
          <wp:wrapSquare wrapText="bothSides" distB="0" distT="0" distL="114300" distR="114300"/>
          <wp:docPr id="25"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1511300" cy="238125"/>
                  </a:xfrm>
                  <a:prstGeom prst="rect"/>
                  <a:ln/>
                </pic:spPr>
              </pic:pic>
            </a:graphicData>
          </a:graphic>
        </wp:anchor>
      </w:drawing>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1"/>
        <w:i w:val="0"/>
        <w:smallCaps w:val="0"/>
        <w:strike w:val="0"/>
        <w:color w:val="6f57a1"/>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6f57a1"/>
        <w:sz w:val="20"/>
        <w:szCs w:val="20"/>
        <w:u w:val="none"/>
        <w:shd w:fill="auto" w:val="clear"/>
        <w:vertAlign w:val="baseline"/>
        <w:rtl w:val="0"/>
      </w:rPr>
      <w:t xml:space="preserve">CURSO: </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7° básico </w:t>
    </w:r>
    <w:r w:rsidDel="00000000" w:rsidR="00000000" w:rsidRPr="00000000">
      <w:rPr>
        <w:rFonts w:ascii="Open Sans" w:cs="Open Sans" w:eastAsia="Open Sans" w:hAnsi="Open Sans"/>
        <w:b w:val="1"/>
        <w:i w:val="0"/>
        <w:smallCaps w:val="0"/>
        <w:strike w:val="0"/>
        <w:color w:val="6f57a1"/>
        <w:sz w:val="20"/>
        <w:szCs w:val="20"/>
        <w:u w:val="none"/>
        <w:shd w:fill="auto" w:val="clear"/>
        <w:vertAlign w:val="baseline"/>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Open Sans" w:cs="Open Sans" w:eastAsia="Open Sans" w:hAnsi="Open Sans"/>
        <w:b w:val="0"/>
        <w:i w:val="1"/>
        <w:smallCaps w:val="0"/>
        <w:strike w:val="0"/>
        <w:color w:val="80808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6350</wp:posOffset>
          </wp:positionH>
          <wp:positionV relativeFrom="page">
            <wp:posOffset>800100</wp:posOffset>
          </wp:positionV>
          <wp:extent cx="1511300" cy="238125"/>
          <wp:effectExtent b="0" l="0" r="0" t="0"/>
          <wp:wrapSquare wrapText="bothSides" distB="0" distT="0" distL="114300" distR="114300"/>
          <wp:docPr id="24"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1511300" cy="238125"/>
                  </a:xfrm>
                  <a:prstGeom prst="rect"/>
                  <a:ln/>
                </pic:spPr>
              </pic:pic>
            </a:graphicData>
          </a:graphic>
        </wp:anchor>
      </w:drawing>
    </w:r>
    <w:r w:rsidDel="00000000" w:rsidR="00000000" w:rsidRPr="00000000">
      <w:rPr>
        <w:rFonts w:ascii="Open Sans" w:cs="Open Sans" w:eastAsia="Open Sans" w:hAnsi="Open Sans"/>
        <w:b w:val="0"/>
        <w:i w:val="1"/>
        <w:smallCaps w:val="0"/>
        <w:strike w:val="0"/>
        <w:color w:val="808080"/>
        <w:sz w:val="18"/>
        <w:szCs w:val="18"/>
        <w:u w:val="none"/>
        <w:shd w:fill="auto" w:val="clear"/>
        <w:vertAlign w:val="baseline"/>
        <w:rtl w:val="0"/>
      </w:rPr>
      <w:t xml:space="preserve">05-02-2022</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1"/>
        <w:i w:val="0"/>
        <w:smallCaps w:val="0"/>
        <w:strike w:val="0"/>
        <w:color w:val="6f57a1"/>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6f57a1"/>
        <w:sz w:val="20"/>
        <w:szCs w:val="20"/>
        <w:u w:val="none"/>
        <w:shd w:fill="auto" w:val="clear"/>
        <w:vertAlign w:val="baseline"/>
        <w:rtl w:val="0"/>
      </w:rPr>
      <w:t xml:space="preserve">CURSO: </w:t>
    </w:r>
    <w:r w:rsidDel="00000000" w:rsidR="00000000" w:rsidRPr="00000000">
      <w:rPr>
        <w:rFonts w:ascii="Open Sans" w:cs="Open Sans" w:eastAsia="Open Sans" w:hAnsi="Open Sans"/>
        <w:b w:val="0"/>
        <w:i w:val="0"/>
        <w:smallCaps w:val="0"/>
        <w:strike w:val="0"/>
        <w:color w:val="000000"/>
        <w:sz w:val="20"/>
        <w:szCs w:val="20"/>
        <w:u w:val="none"/>
        <w:shd w:fill="auto" w:val="clear"/>
        <w:vertAlign w:val="baseline"/>
        <w:rtl w:val="0"/>
      </w:rPr>
      <w:t xml:space="preserve">Curso </w:t>
    </w:r>
    <w:r w:rsidDel="00000000" w:rsidR="00000000" w:rsidRPr="00000000">
      <w:rPr>
        <w:rFonts w:ascii="Open Sans" w:cs="Open Sans" w:eastAsia="Open Sans" w:hAnsi="Open Sans"/>
        <w:b w:val="1"/>
        <w:i w:val="0"/>
        <w:smallCaps w:val="0"/>
        <w:strike w:val="0"/>
        <w:color w:val="6f57a1"/>
        <w:sz w:val="20"/>
        <w:szCs w:val="20"/>
        <w:u w:val="none"/>
        <w:shd w:fill="auto" w:val="clear"/>
        <w:vertAlign w:val="baseline"/>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1079" w:hanging="360"/>
      </w:pPr>
      <w:rPr>
        <w:rFonts w:ascii="Noto Sans Symbols" w:cs="Noto Sans Symbols" w:eastAsia="Noto Sans Symbols" w:hAnsi="Noto Sans Symbols"/>
        <w:color w:val="7f7f7f"/>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L"/>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NormalWeb">
    <w:name w:val="Normal (Web)"/>
    <w:basedOn w:val="Normal"/>
    <w:uiPriority w:val="99"/>
    <w:unhideWhenUsed w:val="1"/>
    <w:rsid w:val="009B75A3"/>
    <w:pPr>
      <w:spacing w:after="100" w:afterAutospacing="1" w:before="100" w:beforeAutospacing="1" w:line="240" w:lineRule="auto"/>
    </w:pPr>
    <w:rPr>
      <w:rFonts w:ascii="Times New Roman" w:cs="Times New Roman" w:eastAsia="Times New Roman" w:hAnsi="Times New Roman"/>
      <w:sz w:val="24"/>
      <w:szCs w:val="24"/>
      <w:lang w:eastAsia="es-CL"/>
    </w:rPr>
  </w:style>
  <w:style w:type="paragraph" w:styleId="Encabezado">
    <w:name w:val="header"/>
    <w:basedOn w:val="Normal"/>
    <w:link w:val="EncabezadoCar"/>
    <w:uiPriority w:val="99"/>
    <w:unhideWhenUsed w:val="1"/>
    <w:rsid w:val="009B75A3"/>
    <w:pPr>
      <w:tabs>
        <w:tab w:val="center" w:pos="4680"/>
        <w:tab w:val="right" w:pos="9360"/>
      </w:tabs>
      <w:spacing w:after="0" w:line="240" w:lineRule="auto"/>
    </w:pPr>
  </w:style>
  <w:style w:type="character" w:styleId="EncabezadoCar" w:customStyle="1">
    <w:name w:val="Encabezado Car"/>
    <w:basedOn w:val="Fuentedeprrafopredeter"/>
    <w:link w:val="Encabezado"/>
    <w:uiPriority w:val="99"/>
    <w:rsid w:val="009B75A3"/>
  </w:style>
  <w:style w:type="paragraph" w:styleId="Piedepgina">
    <w:name w:val="footer"/>
    <w:basedOn w:val="Normal"/>
    <w:link w:val="PiedepginaCar"/>
    <w:uiPriority w:val="99"/>
    <w:unhideWhenUsed w:val="1"/>
    <w:rsid w:val="009B75A3"/>
    <w:pPr>
      <w:tabs>
        <w:tab w:val="center" w:pos="4680"/>
        <w:tab w:val="right" w:pos="9360"/>
      </w:tabs>
      <w:spacing w:after="0" w:line="240" w:lineRule="auto"/>
    </w:pPr>
  </w:style>
  <w:style w:type="character" w:styleId="PiedepginaCar" w:customStyle="1">
    <w:name w:val="Pie de página Car"/>
    <w:basedOn w:val="Fuentedeprrafopredeter"/>
    <w:link w:val="Piedepgina"/>
    <w:uiPriority w:val="99"/>
    <w:rsid w:val="009B75A3"/>
  </w:style>
  <w:style w:type="character" w:styleId="Textodelmarcadordeposicin">
    <w:name w:val="Placeholder Text"/>
    <w:basedOn w:val="Fuentedeprrafopredeter"/>
    <w:uiPriority w:val="99"/>
    <w:semiHidden w:val="1"/>
    <w:rsid w:val="00E20573"/>
    <w:rPr>
      <w:color w:val="808080"/>
    </w:rPr>
  </w:style>
  <w:style w:type="table" w:styleId="Tablaconcuadrcula">
    <w:name w:val="Table Grid"/>
    <w:basedOn w:val="Tablanormal"/>
    <w:uiPriority w:val="39"/>
    <w:rsid w:val="00E674C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notapie">
    <w:name w:val="footnote text"/>
    <w:basedOn w:val="Normal"/>
    <w:link w:val="TextonotapieCar"/>
    <w:uiPriority w:val="99"/>
    <w:semiHidden w:val="1"/>
    <w:unhideWhenUsed w:val="1"/>
    <w:rsid w:val="00840468"/>
    <w:pPr>
      <w:spacing w:after="0" w:line="240" w:lineRule="auto"/>
    </w:pPr>
    <w:rPr>
      <w:sz w:val="20"/>
      <w:szCs w:val="20"/>
    </w:rPr>
  </w:style>
  <w:style w:type="character" w:styleId="TextonotapieCar" w:customStyle="1">
    <w:name w:val="Texto nota pie Car"/>
    <w:basedOn w:val="Fuentedeprrafopredeter"/>
    <w:link w:val="Textonotapie"/>
    <w:uiPriority w:val="99"/>
    <w:semiHidden w:val="1"/>
    <w:rsid w:val="00840468"/>
    <w:rPr>
      <w:sz w:val="20"/>
      <w:szCs w:val="20"/>
    </w:rPr>
  </w:style>
  <w:style w:type="character" w:styleId="Refdenotaalpie">
    <w:name w:val="footnote reference"/>
    <w:basedOn w:val="Fuentedeprrafopredeter"/>
    <w:uiPriority w:val="99"/>
    <w:semiHidden w:val="1"/>
    <w:unhideWhenUsed w:val="1"/>
    <w:rsid w:val="00840468"/>
    <w:rPr>
      <w:vertAlign w:val="superscript"/>
    </w:rPr>
  </w:style>
  <w:style w:type="character" w:styleId="Refdecomentario">
    <w:name w:val="annotation reference"/>
    <w:basedOn w:val="Fuentedeprrafopredeter"/>
    <w:uiPriority w:val="99"/>
    <w:semiHidden w:val="1"/>
    <w:unhideWhenUsed w:val="1"/>
    <w:rsid w:val="001756EF"/>
    <w:rPr>
      <w:sz w:val="16"/>
      <w:szCs w:val="16"/>
    </w:rPr>
  </w:style>
  <w:style w:type="paragraph" w:styleId="Textocomentario">
    <w:name w:val="annotation text"/>
    <w:basedOn w:val="Normal"/>
    <w:link w:val="TextocomentarioCar"/>
    <w:uiPriority w:val="99"/>
    <w:semiHidden w:val="1"/>
    <w:unhideWhenUsed w:val="1"/>
    <w:rsid w:val="001756EF"/>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1756EF"/>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1756EF"/>
    <w:rPr>
      <w:b w:val="1"/>
      <w:bCs w:val="1"/>
    </w:rPr>
  </w:style>
  <w:style w:type="character" w:styleId="AsuntodelcomentarioCar" w:customStyle="1">
    <w:name w:val="Asunto del comentario Car"/>
    <w:basedOn w:val="TextocomentarioCar"/>
    <w:link w:val="Asuntodelcomentario"/>
    <w:uiPriority w:val="99"/>
    <w:semiHidden w:val="1"/>
    <w:rsid w:val="001756EF"/>
    <w:rPr>
      <w:b w:val="1"/>
      <w:bCs w:val="1"/>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header" Target="header2.xml"/><Relationship Id="rId12" Type="http://schemas.openxmlformats.org/officeDocument/2006/relationships/image" Target="media/image3.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dt9niltdHiD7zzZzkoKHV54+uA==">AMUW2mWDABvq/ifK1Iw8TPFEWah+s/BRYH4LIqf7RNbjGYFHLwjD34JMXu3h/Tynt7s0rCJQDfZKRj6YkB2mY6KIwdmSV3wQQkpRIvu/zHfMokDfwSL5LDI=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2022-02-12T15:54:00Z</dcterms:created>
  <dc:creator>David A. Vilches Lagos</dc:creator>
</cp:coreProperties>
</file>